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D54BC" w14:textId="77777777" w:rsidR="007B4016" w:rsidRPr="007B4016" w:rsidRDefault="007B4016" w:rsidP="007B4016">
      <w:pPr>
        <w:spacing w:after="120" w:line="360" w:lineRule="auto"/>
        <w:jc w:val="center"/>
        <w:rPr>
          <w:rFonts w:ascii="Times New Roman" w:hAnsi="Times New Roman" w:cs="Times New Roman"/>
          <w:b/>
          <w:bCs/>
          <w:sz w:val="36"/>
          <w:szCs w:val="36"/>
        </w:rPr>
      </w:pPr>
    </w:p>
    <w:p w14:paraId="7D780D06" w14:textId="071F1DDA" w:rsidR="007B4016" w:rsidRPr="007B4016" w:rsidRDefault="007B4016" w:rsidP="007B4016">
      <w:pPr>
        <w:spacing w:after="120" w:line="360" w:lineRule="auto"/>
        <w:jc w:val="center"/>
        <w:rPr>
          <w:rFonts w:ascii="Times New Roman" w:hAnsi="Times New Roman" w:cs="Times New Roman"/>
          <w:b/>
          <w:bCs/>
          <w:sz w:val="36"/>
          <w:szCs w:val="36"/>
        </w:rPr>
      </w:pPr>
      <w:r w:rsidRPr="007B4016">
        <w:rPr>
          <w:rFonts w:ascii="Times New Roman" w:hAnsi="Times New Roman" w:cs="Times New Roman"/>
          <w:noProof/>
        </w:rPr>
        <w:drawing>
          <wp:inline distT="0" distB="0" distL="0" distR="0" wp14:anchorId="4FC8E546" wp14:editId="6910874B">
            <wp:extent cx="1466850" cy="528320"/>
            <wp:effectExtent l="0" t="0" r="0" b="508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6850" cy="528320"/>
                    </a:xfrm>
                    <a:prstGeom prst="rect">
                      <a:avLst/>
                    </a:prstGeom>
                    <a:noFill/>
                    <a:ln>
                      <a:noFill/>
                    </a:ln>
                  </pic:spPr>
                </pic:pic>
              </a:graphicData>
            </a:graphic>
          </wp:inline>
        </w:drawing>
      </w:r>
    </w:p>
    <w:p w14:paraId="0BD74F55" w14:textId="77777777" w:rsidR="007B4016" w:rsidRPr="007B4016" w:rsidRDefault="007B4016" w:rsidP="007B4016">
      <w:pPr>
        <w:spacing w:after="120" w:line="360" w:lineRule="auto"/>
        <w:jc w:val="center"/>
        <w:rPr>
          <w:rFonts w:ascii="Times New Roman" w:hAnsi="Times New Roman" w:cs="Times New Roman"/>
          <w:b/>
          <w:bCs/>
          <w:sz w:val="36"/>
          <w:szCs w:val="36"/>
        </w:rPr>
      </w:pPr>
    </w:p>
    <w:p w14:paraId="4EF5F5C3" w14:textId="7FA87AB2" w:rsidR="00DD295F" w:rsidRPr="007B4016" w:rsidRDefault="007B4016" w:rsidP="007B4016">
      <w:pPr>
        <w:spacing w:after="120" w:line="360" w:lineRule="auto"/>
        <w:jc w:val="center"/>
        <w:rPr>
          <w:rFonts w:ascii="Times New Roman" w:hAnsi="Times New Roman" w:cs="Times New Roman"/>
        </w:rPr>
      </w:pPr>
      <w:r w:rsidRPr="007B4016">
        <w:rPr>
          <w:rFonts w:ascii="Times New Roman" w:hAnsi="Times New Roman" w:cs="Times New Roman"/>
          <w:b/>
          <w:bCs/>
          <w:sz w:val="36"/>
          <w:szCs w:val="36"/>
        </w:rPr>
        <w:t>Quality Policy</w:t>
      </w:r>
    </w:p>
    <w:p w14:paraId="4CE20D16" w14:textId="77777777" w:rsidR="00DD295F" w:rsidRPr="007B4016" w:rsidRDefault="007B4016" w:rsidP="007B4016">
      <w:pPr>
        <w:spacing w:after="400" w:line="360" w:lineRule="auto"/>
        <w:jc w:val="center"/>
        <w:rPr>
          <w:rFonts w:ascii="Times New Roman" w:hAnsi="Times New Roman" w:cs="Times New Roman"/>
        </w:rPr>
      </w:pPr>
      <w:r w:rsidRPr="007B4016">
        <w:rPr>
          <w:rFonts w:ascii="Times New Roman" w:hAnsi="Times New Roman" w:cs="Times New Roman"/>
          <w:b/>
          <w:bCs/>
          <w:sz w:val="28"/>
          <w:szCs w:val="28"/>
        </w:rPr>
        <w:t>of the Branch of the University of Białystok in Vilnius</w:t>
      </w:r>
    </w:p>
    <w:p w14:paraId="171CD744" w14:textId="77777777" w:rsidR="00DD295F" w:rsidRPr="007B4016" w:rsidRDefault="007B4016" w:rsidP="007B4016">
      <w:pPr>
        <w:spacing w:after="200" w:line="360" w:lineRule="auto"/>
        <w:jc w:val="both"/>
        <w:rPr>
          <w:rFonts w:ascii="Times New Roman" w:hAnsi="Times New Roman" w:cs="Times New Roman"/>
        </w:rPr>
      </w:pPr>
      <w:r w:rsidRPr="007B4016">
        <w:rPr>
          <w:rFonts w:ascii="Times New Roman" w:hAnsi="Times New Roman" w:cs="Times New Roman"/>
        </w:rPr>
        <w:t>The Quality Policy of the Branch of the University of Białystok in Vilnius constitutes the foundation of the internal Quality Management System (QMS). As the only branch of a Polish institution of higher education operating in Lithuania, we strive to build a brand grounded in academic integrity, modern pedagogy, and strong ties with both the local and international community.</w:t>
      </w:r>
    </w:p>
    <w:p w14:paraId="487B101D" w14:textId="77777777" w:rsidR="00DD295F" w:rsidRPr="007B4016" w:rsidRDefault="007B4016" w:rsidP="007B4016">
      <w:pPr>
        <w:spacing w:after="400" w:line="360" w:lineRule="auto"/>
        <w:jc w:val="both"/>
        <w:rPr>
          <w:rFonts w:ascii="Times New Roman" w:hAnsi="Times New Roman" w:cs="Times New Roman"/>
        </w:rPr>
      </w:pPr>
      <w:r w:rsidRPr="007B4016">
        <w:rPr>
          <w:rFonts w:ascii="Times New Roman" w:hAnsi="Times New Roman" w:cs="Times New Roman"/>
        </w:rPr>
        <w:t xml:space="preserve">This Quality Policy is based on: the Act of 20 July 2018 — Law on Higher Education and Science [original: Prawo o szkolnictwie wyższym i nauce], the Statute of the University of Białystok, the internal normative acts of the University of Białystok and the Branch of the University of Białystok in Vilnius, the Branch's development strategy, and the European Standards and Guidelines for Quality Assurance in the European Higher Education Area (ESG). The detailed rules governing the operation of the QMS are set </w:t>
      </w:r>
      <w:r w:rsidRPr="007B4016">
        <w:rPr>
          <w:rFonts w:ascii="Times New Roman" w:hAnsi="Times New Roman" w:cs="Times New Roman"/>
        </w:rPr>
        <w:t>out in separate documents: the Rules of Operation of the Internal Quality Management System of the Branch of the University of Białystok in Vilnius and the Quality Assurance System for Education at the Branch of the University of Białystok in Vilnius.</w:t>
      </w:r>
    </w:p>
    <w:p w14:paraId="3425FC28" w14:textId="77777777" w:rsidR="00DD295F" w:rsidRPr="007B4016" w:rsidRDefault="007B4016" w:rsidP="007B4016">
      <w:pPr>
        <w:pStyle w:val="Nagwek1"/>
        <w:spacing w:line="360" w:lineRule="auto"/>
        <w:rPr>
          <w:rFonts w:ascii="Times New Roman" w:hAnsi="Times New Roman" w:cs="Times New Roman"/>
        </w:rPr>
      </w:pPr>
      <w:r w:rsidRPr="007B4016">
        <w:rPr>
          <w:rFonts w:ascii="Times New Roman" w:hAnsi="Times New Roman" w:cs="Times New Roman"/>
        </w:rPr>
        <w:t>1. Our Values and Quality Mission</w:t>
      </w:r>
    </w:p>
    <w:p w14:paraId="30475948" w14:textId="77777777" w:rsidR="00DD295F" w:rsidRPr="007B4016" w:rsidRDefault="007B4016" w:rsidP="007B4016">
      <w:pPr>
        <w:spacing w:after="400" w:line="360" w:lineRule="auto"/>
        <w:jc w:val="both"/>
        <w:rPr>
          <w:rFonts w:ascii="Times New Roman" w:hAnsi="Times New Roman" w:cs="Times New Roman"/>
        </w:rPr>
      </w:pPr>
      <w:r w:rsidRPr="007B4016">
        <w:rPr>
          <w:rFonts w:ascii="Times New Roman" w:hAnsi="Times New Roman" w:cs="Times New Roman"/>
        </w:rPr>
        <w:t>Our overarching objective is to ensure and continuously improve the quality of the Branch's activities in all their dimensions: from teaching and research to administrative services. We operate on the principles of procedural transparency, participation of the entire academic community, and accountability for the outcomes of our actions. We understand quality not as a static condition, but as a continuous process of improvement.</w:t>
      </w:r>
    </w:p>
    <w:p w14:paraId="3C38F553" w14:textId="77777777" w:rsidR="00DD295F" w:rsidRPr="007B4016" w:rsidRDefault="007B4016" w:rsidP="007B4016">
      <w:pPr>
        <w:pStyle w:val="Nagwek1"/>
        <w:spacing w:line="360" w:lineRule="auto"/>
        <w:rPr>
          <w:rFonts w:ascii="Times New Roman" w:hAnsi="Times New Roman" w:cs="Times New Roman"/>
        </w:rPr>
      </w:pPr>
      <w:r w:rsidRPr="007B4016">
        <w:rPr>
          <w:rFonts w:ascii="Times New Roman" w:hAnsi="Times New Roman" w:cs="Times New Roman"/>
        </w:rPr>
        <w:lastRenderedPageBreak/>
        <w:t>2. Priority Areas of Activity</w:t>
      </w:r>
    </w:p>
    <w:p w14:paraId="702846A5" w14:textId="77777777" w:rsidR="00DD295F" w:rsidRPr="007B4016" w:rsidRDefault="007B4016" w:rsidP="007B4016">
      <w:pPr>
        <w:spacing w:after="160" w:line="360" w:lineRule="auto"/>
        <w:jc w:val="both"/>
        <w:rPr>
          <w:rFonts w:ascii="Times New Roman" w:hAnsi="Times New Roman" w:cs="Times New Roman"/>
        </w:rPr>
      </w:pPr>
      <w:r w:rsidRPr="007B4016">
        <w:rPr>
          <w:rFonts w:ascii="Times New Roman" w:hAnsi="Times New Roman" w:cs="Times New Roman"/>
        </w:rPr>
        <w:t>The implementation of our policy is focused on four key areas:</w:t>
      </w:r>
    </w:p>
    <w:p w14:paraId="542B0B72" w14:textId="77777777" w:rsidR="00DD295F" w:rsidRPr="007B4016" w:rsidRDefault="007B4016" w:rsidP="007B4016">
      <w:pPr>
        <w:pStyle w:val="Akapitzlist"/>
        <w:numPr>
          <w:ilvl w:val="0"/>
          <w:numId w:val="2"/>
        </w:numPr>
        <w:spacing w:after="120" w:line="360" w:lineRule="auto"/>
        <w:jc w:val="both"/>
        <w:rPr>
          <w:rFonts w:ascii="Times New Roman" w:hAnsi="Times New Roman" w:cs="Times New Roman"/>
        </w:rPr>
      </w:pPr>
      <w:r w:rsidRPr="007B4016">
        <w:rPr>
          <w:rFonts w:ascii="Times New Roman" w:hAnsi="Times New Roman" w:cs="Times New Roman"/>
          <w:b/>
          <w:bCs/>
        </w:rPr>
        <w:t xml:space="preserve">Quality of Education: </w:t>
      </w:r>
      <w:r w:rsidRPr="007B4016">
        <w:rPr>
          <w:rFonts w:ascii="Times New Roman" w:hAnsi="Times New Roman" w:cs="Times New Roman"/>
        </w:rPr>
        <w:t>We strive to create an educational environment that stimulates student development. We systematically monitor student feedback through surveys (indicator WK1) and ensure timely degree completion (WK2). Of equal importance to us is the ongoing enhancement of teaching staff competencies (WK3) and the maintenance of high standards through regular lesson observations (WK4).</w:t>
      </w:r>
    </w:p>
    <w:p w14:paraId="1262F6A6" w14:textId="77777777" w:rsidR="00DD295F" w:rsidRPr="007B4016" w:rsidRDefault="007B4016" w:rsidP="007B4016">
      <w:pPr>
        <w:pStyle w:val="Akapitzlist"/>
        <w:numPr>
          <w:ilvl w:val="0"/>
          <w:numId w:val="2"/>
        </w:numPr>
        <w:spacing w:after="120" w:line="360" w:lineRule="auto"/>
        <w:jc w:val="both"/>
        <w:rPr>
          <w:rFonts w:ascii="Times New Roman" w:hAnsi="Times New Roman" w:cs="Times New Roman"/>
        </w:rPr>
      </w:pPr>
      <w:r w:rsidRPr="007B4016">
        <w:rPr>
          <w:rFonts w:ascii="Times New Roman" w:hAnsi="Times New Roman" w:cs="Times New Roman"/>
          <w:b/>
          <w:bCs/>
        </w:rPr>
        <w:t xml:space="preserve">Research Excellence: </w:t>
      </w:r>
      <w:r w:rsidRPr="007B4016">
        <w:rPr>
          <w:rFonts w:ascii="Times New Roman" w:hAnsi="Times New Roman" w:cs="Times New Roman"/>
        </w:rPr>
        <w:t>We support the academic development of our staff and students by promoting publication activity (WN1) and participation in the international exchange of ideas at conferences (WN3, WN4). We actively seek to increase the number of research projects undertaken, thereby enhancing the prestige of the Branch (WN2).</w:t>
      </w:r>
    </w:p>
    <w:p w14:paraId="799CF6CC" w14:textId="77777777" w:rsidR="00DD295F" w:rsidRPr="007B4016" w:rsidRDefault="007B4016" w:rsidP="007B4016">
      <w:pPr>
        <w:pStyle w:val="Akapitzlist"/>
        <w:numPr>
          <w:ilvl w:val="0"/>
          <w:numId w:val="2"/>
        </w:numPr>
        <w:spacing w:after="120" w:line="360" w:lineRule="auto"/>
        <w:jc w:val="both"/>
        <w:rPr>
          <w:rFonts w:ascii="Times New Roman" w:hAnsi="Times New Roman" w:cs="Times New Roman"/>
        </w:rPr>
      </w:pPr>
      <w:r w:rsidRPr="007B4016">
        <w:rPr>
          <w:rFonts w:ascii="Times New Roman" w:hAnsi="Times New Roman" w:cs="Times New Roman"/>
          <w:b/>
          <w:bCs/>
        </w:rPr>
        <w:t xml:space="preserve">Professional Administration: </w:t>
      </w:r>
      <w:r w:rsidRPr="007B4016">
        <w:rPr>
          <w:rFonts w:ascii="Times New Roman" w:hAnsi="Times New Roman" w:cs="Times New Roman"/>
        </w:rPr>
        <w:t>We assess the quality of management through the lens of student and staff satisfaction (WZ1, WZ2). We pursue the professionalisation of service delivery through systematic training of administrative personnel (WZ3), with the aim of ensuring efficient and user-friendly operations.</w:t>
      </w:r>
    </w:p>
    <w:p w14:paraId="15B4EEAB" w14:textId="77777777" w:rsidR="00DD295F" w:rsidRPr="007B4016" w:rsidRDefault="007B4016" w:rsidP="007B4016">
      <w:pPr>
        <w:pStyle w:val="Akapitzlist"/>
        <w:numPr>
          <w:ilvl w:val="0"/>
          <w:numId w:val="2"/>
        </w:numPr>
        <w:spacing w:after="400" w:line="360" w:lineRule="auto"/>
        <w:jc w:val="both"/>
        <w:rPr>
          <w:rFonts w:ascii="Times New Roman" w:hAnsi="Times New Roman" w:cs="Times New Roman"/>
        </w:rPr>
      </w:pPr>
      <w:r w:rsidRPr="007B4016">
        <w:rPr>
          <w:rFonts w:ascii="Times New Roman" w:hAnsi="Times New Roman" w:cs="Times New Roman"/>
          <w:b/>
          <w:bCs/>
        </w:rPr>
        <w:t xml:space="preserve">Relations with the External Environment: </w:t>
      </w:r>
      <w:r w:rsidRPr="007B4016">
        <w:rPr>
          <w:rFonts w:ascii="Times New Roman" w:hAnsi="Times New Roman" w:cs="Times New Roman"/>
        </w:rPr>
        <w:t>We are an open institution. We actively build bridges with external partners through cooperation agreements (WO1) and joint initiatives (WO2). The Branch's Advisory Council serves as an important consultative body in this process (WO3). We devote particular attention to initiatives directed at the Polish minority in Lithuania (WO4), thereby fulfilling our mission of preserving Polish cultural and linguistic identity in Lithuania.</w:t>
      </w:r>
    </w:p>
    <w:p w14:paraId="5934C1A7" w14:textId="77777777" w:rsidR="00DD295F" w:rsidRPr="007B4016" w:rsidRDefault="007B4016" w:rsidP="007B4016">
      <w:pPr>
        <w:pStyle w:val="Nagwek1"/>
        <w:spacing w:line="360" w:lineRule="auto"/>
        <w:rPr>
          <w:rFonts w:ascii="Times New Roman" w:hAnsi="Times New Roman" w:cs="Times New Roman"/>
        </w:rPr>
      </w:pPr>
      <w:r w:rsidRPr="007B4016">
        <w:rPr>
          <w:rFonts w:ascii="Times New Roman" w:hAnsi="Times New Roman" w:cs="Times New Roman"/>
        </w:rPr>
        <w:t>3. Implementation and Improvement Mechanism</w:t>
      </w:r>
    </w:p>
    <w:p w14:paraId="57F611F6" w14:textId="77777777" w:rsidR="00DD295F" w:rsidRPr="007B4016" w:rsidRDefault="007B4016" w:rsidP="007B4016">
      <w:pPr>
        <w:spacing w:after="200" w:line="360" w:lineRule="auto"/>
        <w:jc w:val="both"/>
        <w:rPr>
          <w:rFonts w:ascii="Times New Roman" w:hAnsi="Times New Roman" w:cs="Times New Roman"/>
        </w:rPr>
      </w:pPr>
      <w:r w:rsidRPr="007B4016">
        <w:rPr>
          <w:rFonts w:ascii="Times New Roman" w:hAnsi="Times New Roman" w:cs="Times New Roman"/>
        </w:rPr>
        <w:t>The Quality Policy is implemented through a systematic annual cycle comprising: goal-setting, execution of activities, evaluation of outcomes, and the introduction of necessary improvements. Each cycle concludes with the preparation of a comprehensive Quality Report, which is reviewed by the Quality Team, the Dean, and the Branch Council.</w:t>
      </w:r>
    </w:p>
    <w:p w14:paraId="161BF298" w14:textId="77777777" w:rsidR="00DD295F" w:rsidRPr="007B4016" w:rsidRDefault="007B4016" w:rsidP="007B4016">
      <w:pPr>
        <w:spacing w:after="400" w:line="360" w:lineRule="auto"/>
        <w:jc w:val="both"/>
        <w:rPr>
          <w:rFonts w:ascii="Times New Roman" w:hAnsi="Times New Roman" w:cs="Times New Roman"/>
        </w:rPr>
      </w:pPr>
      <w:r w:rsidRPr="007B4016">
        <w:rPr>
          <w:rFonts w:ascii="Times New Roman" w:hAnsi="Times New Roman" w:cs="Times New Roman"/>
        </w:rPr>
        <w:t>In cases where irregularities are identified, the system obligates us to take immediate corrective action, for which designated individuals are held responsible within strictly defined timeframes.</w:t>
      </w:r>
    </w:p>
    <w:p w14:paraId="49367E18" w14:textId="77777777" w:rsidR="00DD295F" w:rsidRPr="007B4016" w:rsidRDefault="007B4016" w:rsidP="007B4016">
      <w:pPr>
        <w:pStyle w:val="Nagwek1"/>
        <w:spacing w:line="360" w:lineRule="auto"/>
        <w:rPr>
          <w:rFonts w:ascii="Times New Roman" w:hAnsi="Times New Roman" w:cs="Times New Roman"/>
        </w:rPr>
      </w:pPr>
      <w:r w:rsidRPr="007B4016">
        <w:rPr>
          <w:rFonts w:ascii="Times New Roman" w:hAnsi="Times New Roman" w:cs="Times New Roman"/>
        </w:rPr>
        <w:lastRenderedPageBreak/>
        <w:t>4. Commitment of the Authorities and the Academic Community</w:t>
      </w:r>
    </w:p>
    <w:p w14:paraId="4A90467E" w14:textId="77777777" w:rsidR="00DD295F" w:rsidRPr="007B4016" w:rsidRDefault="007B4016" w:rsidP="007B4016">
      <w:pPr>
        <w:spacing w:after="400" w:line="360" w:lineRule="auto"/>
        <w:jc w:val="both"/>
        <w:rPr>
          <w:rFonts w:ascii="Times New Roman" w:hAnsi="Times New Roman" w:cs="Times New Roman"/>
        </w:rPr>
      </w:pPr>
      <w:r w:rsidRPr="007B4016">
        <w:rPr>
          <w:rFonts w:ascii="Times New Roman" w:hAnsi="Times New Roman" w:cs="Times New Roman"/>
        </w:rPr>
        <w:t>The Dean of the Branch exercises direct oversight over the QMS, approving quality objectives and providing the resources necessary for their achievement. At the same time, we recognise that every member of staff and every student has a genuine influence on quality — in particular through participation in surveys and through the submission of opinions and proposals.</w:t>
      </w:r>
    </w:p>
    <w:p w14:paraId="1BED3F92" w14:textId="77777777" w:rsidR="00DD295F" w:rsidRPr="007B4016" w:rsidRDefault="007B4016" w:rsidP="007B4016">
      <w:pPr>
        <w:pStyle w:val="Nagwek1"/>
        <w:spacing w:line="360" w:lineRule="auto"/>
        <w:rPr>
          <w:rFonts w:ascii="Times New Roman" w:hAnsi="Times New Roman" w:cs="Times New Roman"/>
        </w:rPr>
      </w:pPr>
      <w:r w:rsidRPr="007B4016">
        <w:rPr>
          <w:rFonts w:ascii="Times New Roman" w:hAnsi="Times New Roman" w:cs="Times New Roman"/>
        </w:rPr>
        <w:t>5. International and Intercultural Dimension</w:t>
      </w:r>
    </w:p>
    <w:p w14:paraId="77AC77D0" w14:textId="77777777" w:rsidR="00DD295F" w:rsidRPr="007B4016" w:rsidRDefault="007B4016" w:rsidP="007B4016">
      <w:pPr>
        <w:spacing w:after="400" w:line="360" w:lineRule="auto"/>
        <w:jc w:val="both"/>
        <w:rPr>
          <w:rFonts w:ascii="Times New Roman" w:hAnsi="Times New Roman" w:cs="Times New Roman"/>
        </w:rPr>
      </w:pPr>
      <w:r w:rsidRPr="007B4016">
        <w:rPr>
          <w:rFonts w:ascii="Times New Roman" w:hAnsi="Times New Roman" w:cs="Times New Roman"/>
        </w:rPr>
        <w:t>The Branch operates within a unique bilingual and bicultural context — Polish and Lithuanian. As the only Polish academic institution in Lithuania, we actively support intercultural dialogue by integrating European values, Polish academic traditions, and the local community of the Vilnius region. In our quality-related activities, we take into account the specific character of the international environment, including the requirements of Lithuanian law on higher education, and we pursue collaborative partner</w:t>
      </w:r>
      <w:r w:rsidRPr="007B4016">
        <w:rPr>
          <w:rFonts w:ascii="Times New Roman" w:hAnsi="Times New Roman" w:cs="Times New Roman"/>
        </w:rPr>
        <w:t>ships with Lithuanian and European universities. We regard multiculturalism as an added value that enriches the educational experience of our students and strengthens the Branch's position within the European Higher Education Area.</w:t>
      </w:r>
    </w:p>
    <w:p w14:paraId="2E7D541C" w14:textId="77777777" w:rsidR="00DD295F" w:rsidRPr="007B4016" w:rsidRDefault="007B4016" w:rsidP="007B4016">
      <w:pPr>
        <w:pStyle w:val="Nagwek1"/>
        <w:spacing w:line="360" w:lineRule="auto"/>
        <w:rPr>
          <w:rFonts w:ascii="Times New Roman" w:hAnsi="Times New Roman" w:cs="Times New Roman"/>
        </w:rPr>
      </w:pPr>
      <w:r w:rsidRPr="007B4016">
        <w:rPr>
          <w:rFonts w:ascii="Times New Roman" w:hAnsi="Times New Roman" w:cs="Times New Roman"/>
        </w:rPr>
        <w:t>6. Availability and Dissemination of the Quality Policy</w:t>
      </w:r>
    </w:p>
    <w:p w14:paraId="19107F3B" w14:textId="77777777" w:rsidR="00DD295F" w:rsidRPr="007B4016" w:rsidRDefault="007B4016" w:rsidP="007B4016">
      <w:pPr>
        <w:spacing w:after="200" w:line="360" w:lineRule="auto"/>
        <w:jc w:val="both"/>
        <w:rPr>
          <w:rFonts w:ascii="Times New Roman" w:hAnsi="Times New Roman" w:cs="Times New Roman"/>
        </w:rPr>
      </w:pPr>
      <w:r w:rsidRPr="007B4016">
        <w:rPr>
          <w:rFonts w:ascii="Times New Roman" w:hAnsi="Times New Roman" w:cs="Times New Roman"/>
        </w:rPr>
        <w:t>This Quality Policy is a public document. It is made available on the Branch's website (wilno.uwb.edu.pl) and at the Branch Office, and is distributed to all staff and students at the beginning of each academic year. The Quality Policy is subject to approval by the Dean of the Branch and the Branch Council.</w:t>
      </w:r>
    </w:p>
    <w:p w14:paraId="28EDB1BB" w14:textId="77777777" w:rsidR="00DD295F" w:rsidRPr="007B4016" w:rsidRDefault="007B4016" w:rsidP="007B4016">
      <w:pPr>
        <w:spacing w:after="400" w:line="360" w:lineRule="auto"/>
        <w:jc w:val="both"/>
        <w:rPr>
          <w:rFonts w:ascii="Times New Roman" w:hAnsi="Times New Roman" w:cs="Times New Roman"/>
        </w:rPr>
      </w:pPr>
      <w:r w:rsidRPr="007B4016">
        <w:rPr>
          <w:rFonts w:ascii="Times New Roman" w:hAnsi="Times New Roman" w:cs="Times New Roman"/>
        </w:rPr>
        <w:t>This Quality Policy is subject to regular review (no less frequently than every three years), ensuring its continued relevance in response to changing legal regulations and the evolving challenges facing higher education.</w:t>
      </w:r>
    </w:p>
    <w:p w14:paraId="41C82EB9" w14:textId="77777777" w:rsidR="00DD295F" w:rsidRPr="007B4016" w:rsidRDefault="007B4016" w:rsidP="007B4016">
      <w:pPr>
        <w:spacing w:before="400" w:line="360" w:lineRule="auto"/>
        <w:rPr>
          <w:rFonts w:ascii="Times New Roman" w:hAnsi="Times New Roman" w:cs="Times New Roman"/>
        </w:rPr>
      </w:pPr>
      <w:r w:rsidRPr="007B4016">
        <w:rPr>
          <w:rFonts w:ascii="Times New Roman" w:hAnsi="Times New Roman" w:cs="Times New Roman"/>
        </w:rPr>
        <w:t>Vilnius, 20 April 2026</w:t>
      </w:r>
    </w:p>
    <w:sectPr w:rsidR="00DD295F" w:rsidRPr="007B4016">
      <w:pgSz w:w="11906" w:h="16838"/>
      <w:pgMar w:top="1440" w:right="1440" w:bottom="1440" w:left="1440" w:header="708" w:footer="708"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87E89"/>
    <w:multiLevelType w:val="hybridMultilevel"/>
    <w:tmpl w:val="2340CB92"/>
    <w:lvl w:ilvl="0" w:tplc="14904AA8">
      <w:start w:val="1"/>
      <w:numFmt w:val="bullet"/>
      <w:lvlText w:val="●"/>
      <w:lvlJc w:val="left"/>
      <w:pPr>
        <w:ind w:left="720" w:hanging="360"/>
      </w:pPr>
    </w:lvl>
    <w:lvl w:ilvl="1" w:tplc="8C7AC298">
      <w:start w:val="1"/>
      <w:numFmt w:val="bullet"/>
      <w:lvlText w:val="○"/>
      <w:lvlJc w:val="left"/>
      <w:pPr>
        <w:ind w:left="1440" w:hanging="360"/>
      </w:pPr>
    </w:lvl>
    <w:lvl w:ilvl="2" w:tplc="F2740276">
      <w:start w:val="1"/>
      <w:numFmt w:val="bullet"/>
      <w:lvlText w:val="■"/>
      <w:lvlJc w:val="left"/>
      <w:pPr>
        <w:ind w:left="2160" w:hanging="360"/>
      </w:pPr>
    </w:lvl>
    <w:lvl w:ilvl="3" w:tplc="ADA4026A">
      <w:start w:val="1"/>
      <w:numFmt w:val="bullet"/>
      <w:lvlText w:val="●"/>
      <w:lvlJc w:val="left"/>
      <w:pPr>
        <w:ind w:left="2880" w:hanging="360"/>
      </w:pPr>
    </w:lvl>
    <w:lvl w:ilvl="4" w:tplc="FC086866">
      <w:start w:val="1"/>
      <w:numFmt w:val="bullet"/>
      <w:lvlText w:val="○"/>
      <w:lvlJc w:val="left"/>
      <w:pPr>
        <w:ind w:left="3600" w:hanging="360"/>
      </w:pPr>
    </w:lvl>
    <w:lvl w:ilvl="5" w:tplc="8D56BC1A">
      <w:start w:val="1"/>
      <w:numFmt w:val="bullet"/>
      <w:lvlText w:val="■"/>
      <w:lvlJc w:val="left"/>
      <w:pPr>
        <w:ind w:left="4320" w:hanging="360"/>
      </w:pPr>
    </w:lvl>
    <w:lvl w:ilvl="6" w:tplc="BD4C9036">
      <w:start w:val="1"/>
      <w:numFmt w:val="bullet"/>
      <w:lvlText w:val="●"/>
      <w:lvlJc w:val="left"/>
      <w:pPr>
        <w:ind w:left="5040" w:hanging="360"/>
      </w:pPr>
    </w:lvl>
    <w:lvl w:ilvl="7" w:tplc="CB589EE2">
      <w:start w:val="1"/>
      <w:numFmt w:val="bullet"/>
      <w:lvlText w:val="●"/>
      <w:lvlJc w:val="left"/>
      <w:pPr>
        <w:ind w:left="5760" w:hanging="360"/>
      </w:pPr>
    </w:lvl>
    <w:lvl w:ilvl="8" w:tplc="CB82F1F6">
      <w:start w:val="1"/>
      <w:numFmt w:val="bullet"/>
      <w:lvlText w:val="●"/>
      <w:lvlJc w:val="left"/>
      <w:pPr>
        <w:ind w:left="6480" w:hanging="360"/>
      </w:pPr>
    </w:lvl>
  </w:abstractNum>
  <w:abstractNum w:abstractNumId="1" w15:restartNumberingAfterBreak="0">
    <w:nsid w:val="30D1040D"/>
    <w:multiLevelType w:val="hybridMultilevel"/>
    <w:tmpl w:val="1EF2AF6E"/>
    <w:lvl w:ilvl="0" w:tplc="AA924E16">
      <w:start w:val="1"/>
      <w:numFmt w:val="bullet"/>
      <w:lvlText w:val="•"/>
      <w:lvlJc w:val="left"/>
      <w:pPr>
        <w:ind w:left="720" w:hanging="360"/>
      </w:pPr>
    </w:lvl>
    <w:lvl w:ilvl="1" w:tplc="2006CB4C">
      <w:numFmt w:val="decimal"/>
      <w:lvlText w:val=""/>
      <w:lvlJc w:val="left"/>
    </w:lvl>
    <w:lvl w:ilvl="2" w:tplc="E1BA4902">
      <w:numFmt w:val="decimal"/>
      <w:lvlText w:val=""/>
      <w:lvlJc w:val="left"/>
    </w:lvl>
    <w:lvl w:ilvl="3" w:tplc="5052B2EA">
      <w:numFmt w:val="decimal"/>
      <w:lvlText w:val=""/>
      <w:lvlJc w:val="left"/>
    </w:lvl>
    <w:lvl w:ilvl="4" w:tplc="55F07484">
      <w:numFmt w:val="decimal"/>
      <w:lvlText w:val=""/>
      <w:lvlJc w:val="left"/>
    </w:lvl>
    <w:lvl w:ilvl="5" w:tplc="8AF8CD4C">
      <w:numFmt w:val="decimal"/>
      <w:lvlText w:val=""/>
      <w:lvlJc w:val="left"/>
    </w:lvl>
    <w:lvl w:ilvl="6" w:tplc="61E63492">
      <w:numFmt w:val="decimal"/>
      <w:lvlText w:val=""/>
      <w:lvlJc w:val="left"/>
    </w:lvl>
    <w:lvl w:ilvl="7" w:tplc="2262899A">
      <w:numFmt w:val="decimal"/>
      <w:lvlText w:val=""/>
      <w:lvlJc w:val="left"/>
    </w:lvl>
    <w:lvl w:ilvl="8" w:tplc="70EED17A">
      <w:numFmt w:val="decimal"/>
      <w:lvlText w:val=""/>
      <w:lvlJc w:val="left"/>
    </w:lvl>
  </w:abstractNum>
  <w:num w:numId="1" w16cid:durableId="403529824">
    <w:abstractNumId w:val="0"/>
    <w:lvlOverride w:ilvl="0">
      <w:startOverride w:val="1"/>
    </w:lvlOverride>
  </w:num>
  <w:num w:numId="2" w16cid:durableId="192911889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95F"/>
    <w:rsid w:val="0031348E"/>
    <w:rsid w:val="007B4016"/>
    <w:rsid w:val="00DD29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2F0BE"/>
  <w15:docId w15:val="{41592111-083C-4D2E-B175-52B757C1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spacing w:before="280" w:after="160"/>
      <w:outlineLvl w:val="0"/>
    </w:pPr>
    <w:rPr>
      <w:b/>
      <w:bCs/>
      <w:color w:val="000000"/>
      <w:sz w:val="28"/>
      <w:szCs w:val="28"/>
    </w:rPr>
  </w:style>
  <w:style w:type="paragraph" w:styleId="Nagwek2">
    <w:name w:val="heading 2"/>
    <w:uiPriority w:val="9"/>
    <w:semiHidden/>
    <w:unhideWhenUsed/>
    <w:qFormat/>
    <w:pPr>
      <w:spacing w:before="200" w:after="120"/>
      <w:outlineLvl w:val="1"/>
    </w:pPr>
    <w:rPr>
      <w:b/>
      <w:bCs/>
      <w:color w:val="000000"/>
    </w:rPr>
  </w:style>
  <w:style w:type="paragraph" w:styleId="Nagwek3">
    <w:name w:val="heading 3"/>
    <w:uiPriority w:val="9"/>
    <w:semiHidden/>
    <w:unhideWhenUsed/>
    <w:qFormat/>
    <w:pPr>
      <w:outlineLvl w:val="2"/>
    </w:pPr>
    <w:rPr>
      <w:color w:val="1F4D78"/>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rPr>
      <w:sz w:val="20"/>
      <w:szCs w:val="20"/>
    </w:rPr>
  </w:style>
  <w:style w:type="character" w:customStyle="1" w:styleId="TekstprzypisudolnegoZnak">
    <w:name w:val="Tekst przypisu dolnego Znak"/>
    <w:link w:val="Tekstprzypisudolnego"/>
    <w:uiPriority w:val="99"/>
    <w:semiHidden/>
    <w:unhideWhenUsed/>
    <w:rPr>
      <w:sz w:val="20"/>
      <w:szCs w:val="20"/>
    </w:rPr>
  </w:style>
  <w:style w:type="character" w:styleId="Odwoanieprzypisukocowego">
    <w:name w:val="endnote reference"/>
    <w:uiPriority w:val="99"/>
    <w:semiHidden/>
    <w:unhideWhenUsed/>
    <w:rPr>
      <w:vertAlign w:val="superscript"/>
    </w:rPr>
  </w:style>
  <w:style w:type="paragraph" w:styleId="Tekstprzypisukocowego">
    <w:name w:val="endnote text"/>
    <w:link w:val="TekstprzypisukocowegoZnak"/>
    <w:uiPriority w:val="99"/>
    <w:semiHidden/>
    <w:unhideWhenUsed/>
    <w:rPr>
      <w:sz w:val="20"/>
      <w:szCs w:val="20"/>
    </w:rPr>
  </w:style>
  <w:style w:type="character" w:customStyle="1" w:styleId="TekstprzypisukocowegoZnak">
    <w:name w:val="Tekst przypisu końcowego Znak"/>
    <w:link w:val="Tekstprzypisukocowego"/>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3629</Words>
  <Characters>2070</Characters>
  <Application>Microsoft Office Word</Application>
  <DocSecurity>0</DocSecurity>
  <Lines>17</Lines>
  <Paragraphs>11</Paragraphs>
  <ScaleCrop>false</ScaleCrop>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Dominyka Belianaitė</cp:lastModifiedBy>
  <cp:revision>2</cp:revision>
  <dcterms:created xsi:type="dcterms:W3CDTF">2026-04-21T11:02:00Z</dcterms:created>
  <dcterms:modified xsi:type="dcterms:W3CDTF">2026-04-21T11:05:00Z</dcterms:modified>
</cp:coreProperties>
</file>